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BC9716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3102">
        <w:rPr>
          <w:rFonts w:ascii="Times New Roman" w:hAnsi="Times New Roman" w:cs="Times New Roman"/>
          <w:b/>
          <w:bCs/>
          <w:sz w:val="28"/>
          <w:szCs w:val="28"/>
        </w:rPr>
        <w:t>Пояснение по заполнению формы, предназначенной для сбора административных данных на безвозмездной основе «Отчет о движении денежных средств (косвенный метод)» (4 – ДДС-К)</w:t>
      </w:r>
    </w:p>
    <w:p w14:paraId="45FCD11A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1) Форма «Отчет о движении денежных средств (косвенный метод)» разработана в соответствии с подпунктом 2) пункта 5 статьи 20 Закона Республики Казахстан «О бухгалтерском учете и финансовой отчетности», подпунктом 643-6) пункта 15 Положения о Министерстве финансов Республики Казахстан, утвержденного постановлением Правительства Республики Казахстан от 24 апреля 2008 года № 387.</w:t>
      </w:r>
    </w:p>
    <w:p w14:paraId="0EEEAF6F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2) По выбору организации публичного интереса денежные потоки от операционной, инвестиционной и финансовой деятельности по результатам финансового года представляются в депозитарий финансовой отчетности в электронном формате посредством программного обеспечения с использованием косвенного метода по форме «Отчет о движении денежных средств (косвенный метод)». Подписывается «Отчет о движении денежных средств (косвенный метод)»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за отчетным. Основной задачей ведения данной формы является осуществление мониторинга за соблюдением Закона Республики Казахстан «О бухгалтерском учете и финансовой отчетности»;</w:t>
      </w:r>
    </w:p>
    <w:p w14:paraId="75CCF8C2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3) Форма заполняется следующим образом:</w:t>
      </w:r>
    </w:p>
    <w:p w14:paraId="53701699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столбце «Наименование показателей»:</w:t>
      </w:r>
    </w:p>
    <w:p w14:paraId="0E1FC99F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столбце I. «Движение денежных средств от операционной деятельности» указывается:</w:t>
      </w:r>
    </w:p>
    <w:p w14:paraId="74868AA9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«прибыль (убыток) до налогообложения» 010;</w:t>
      </w:r>
    </w:p>
    <w:p w14:paraId="6882748C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«амортизация и обесценение основных средств и нематериальных активов» 011;</w:t>
      </w:r>
    </w:p>
    <w:p w14:paraId="6FBE0223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«обесценение гудвилла» 012;</w:t>
      </w:r>
    </w:p>
    <w:p w14:paraId="6764EC67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«обесценение торговой и прочей дебиторской задолженности» 013;</w:t>
      </w:r>
    </w:p>
    <w:p w14:paraId="25CE16A4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«списание стоимости активов (или выбывающей группы), предназначенных для продажи, до справедливой стоимости за вычетом затрат на продажу» 014;</w:t>
      </w:r>
    </w:p>
    <w:p w14:paraId="6E4768A4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«убыток (прибыль) от выбытия основных средств» 015;</w:t>
      </w:r>
    </w:p>
    <w:p w14:paraId="44865E54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«убыток (прибыль) от инвестиционного имущества» 016;</w:t>
      </w:r>
    </w:p>
    <w:p w14:paraId="71DD9501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«убыток (прибыль) от досрочного погашения займов» 017;</w:t>
      </w:r>
    </w:p>
    <w:p w14:paraId="5CAA350F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«убыток (прибыль) от прочих финансовых активов, отражаемых по справедливой стоимости с корректировкой через отчет о прибылях и убытках» 018;</w:t>
      </w:r>
    </w:p>
    <w:p w14:paraId="08C2574B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«расходы (доходы) по финансированию» 019;</w:t>
      </w:r>
    </w:p>
    <w:p w14:paraId="229B9FBB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«вознаграждения работникам» 020;</w:t>
      </w:r>
    </w:p>
    <w:p w14:paraId="474B8759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«расходы по вознаграждениям долевыми инструментами» 021;</w:t>
      </w:r>
    </w:p>
    <w:p w14:paraId="379446F0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«доход (расход) по отложенным налогам» 022;</w:t>
      </w:r>
    </w:p>
    <w:p w14:paraId="4E72245A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«нереализованная положительная (отрицательная) курсовая разница» 023;</w:t>
      </w:r>
    </w:p>
    <w:p w14:paraId="0BE96F42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lastRenderedPageBreak/>
        <w:t>«доля организации в прибыли ассоциированных организаций и совместной деятельности, учитываемых по методу долевого участия» 024;</w:t>
      </w:r>
    </w:p>
    <w:p w14:paraId="155DF34C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«прочие не денежные операционные корректировки общего совокупного дохода (убытка)» 025;</w:t>
      </w:r>
    </w:p>
    <w:p w14:paraId="504B668D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значение строки «Итого корректировка общего совокупного дохода (убытка), всего» 030 равно: +/- строк с 011 по 025;</w:t>
      </w:r>
    </w:p>
    <w:p w14:paraId="77AA150C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«изменения в запасах» 031;</w:t>
      </w:r>
    </w:p>
    <w:p w14:paraId="52F667CB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«изменения резерва» 032;</w:t>
      </w:r>
    </w:p>
    <w:p w14:paraId="51F8A917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«изменения в торговой и прочей дебиторской задолженности» 033;</w:t>
      </w:r>
    </w:p>
    <w:p w14:paraId="4B7BC919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«изменения в торговой и прочей кредиторской задолженности» 034;</w:t>
      </w:r>
    </w:p>
    <w:p w14:paraId="66DE9394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«изменения в задолженности по налогам и другим обязательным платежам в бюджет» 035;</w:t>
      </w:r>
    </w:p>
    <w:p w14:paraId="03D08A42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«изменения в прочих краткосрочных обязательствах» 036;</w:t>
      </w:r>
    </w:p>
    <w:p w14:paraId="7254B242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значение строки «Итого движение операционных активов и обязательств, всего» 040 равно: +/- строк с 031 по 036;</w:t>
      </w:r>
    </w:p>
    <w:p w14:paraId="3647753B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«уплаченные вознаграждения» 041;</w:t>
      </w:r>
    </w:p>
    <w:p w14:paraId="6E691798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«полученные вознаграждения» 042;</w:t>
      </w:r>
    </w:p>
    <w:p w14:paraId="50BB2724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«уплаченный подоходный налог» 043;</w:t>
      </w:r>
    </w:p>
    <w:p w14:paraId="36D972E9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значение строки «Чистая сумма денежных средств от операционной деятельности» 050 равно +/- строк 010, 030, 040, 041, 042 и 043.</w:t>
      </w:r>
    </w:p>
    <w:p w14:paraId="4F1A1E86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столбце II. «Движение денежных средств от инвестиционной деятельности» указывается:</w:t>
      </w:r>
    </w:p>
    <w:p w14:paraId="3811D844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значение строки «Поступление денежных средств, всего» 060 равно сумме строк с 061 по 072, в том числе:</w:t>
      </w:r>
    </w:p>
    <w:p w14:paraId="1FA27D86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«реализация основных средств» 061;</w:t>
      </w:r>
    </w:p>
    <w:p w14:paraId="37B648D5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«реализация нематериальных активов» 062;</w:t>
      </w:r>
    </w:p>
    <w:p w14:paraId="6714F456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«реализация других долгосрочных активов» 063;</w:t>
      </w:r>
    </w:p>
    <w:p w14:paraId="29EE62BB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«реализация долевых инструментов других организаций (кроме дочерних) и долей участия в совместном предпринимательстве» 064;</w:t>
      </w:r>
    </w:p>
    <w:p w14:paraId="394E7175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«реализация долговых инструментов других организаций» 065;</w:t>
      </w:r>
    </w:p>
    <w:p w14:paraId="116360F6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«возмещение при потере контроля над дочерними организациями» 066;</w:t>
      </w:r>
    </w:p>
    <w:p w14:paraId="2C8B6D79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«изъятие денежных вкладов» 067;</w:t>
      </w:r>
    </w:p>
    <w:p w14:paraId="7BF385F5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«реализация прочих финансовых активов» 068;</w:t>
      </w:r>
    </w:p>
    <w:p w14:paraId="48670163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«фьючерсные и форвардные контракты, опционы и свопы» 069;</w:t>
      </w:r>
    </w:p>
    <w:p w14:paraId="32AD16B2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«полученные дивиденды» 070;</w:t>
      </w:r>
    </w:p>
    <w:p w14:paraId="354C7B70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«полученные вознаграждения» 071;</w:t>
      </w:r>
    </w:p>
    <w:p w14:paraId="52284A2F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«прочие поступления» 072;</w:t>
      </w:r>
    </w:p>
    <w:p w14:paraId="6EB2C663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lastRenderedPageBreak/>
        <w:t>значение строки «Выбытие денежных средств, всего» 080 равно сумме строк с 081 по 092,</w:t>
      </w:r>
    </w:p>
    <w:p w14:paraId="5B71B195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том числе:</w:t>
      </w:r>
    </w:p>
    <w:p w14:paraId="33B69771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«приобретение основных средств» 081;</w:t>
      </w:r>
    </w:p>
    <w:p w14:paraId="7EDC9C9E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«приобретение нематериальных активов» 082;</w:t>
      </w:r>
    </w:p>
    <w:p w14:paraId="7071600B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«приобретение других долгосрочных активов» 083;</w:t>
      </w:r>
    </w:p>
    <w:p w14:paraId="487E6F92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«приобретение долевых инструментов других организаций (кроме дочерних) и долей участия в совместном предпринимательстве» 084;</w:t>
      </w:r>
    </w:p>
    <w:p w14:paraId="358B0B55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«приобретение долговых инструментов других организаций» 085;</w:t>
      </w:r>
    </w:p>
    <w:p w14:paraId="323E86CF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«приобретение контроля над дочерними организациями» 086;</w:t>
      </w:r>
    </w:p>
    <w:p w14:paraId="23C67F41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«размещение денежных вкладов» 087;</w:t>
      </w:r>
    </w:p>
    <w:p w14:paraId="110CA21B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«приобретение прочих финансовых активов» 088;</w:t>
      </w:r>
    </w:p>
    <w:p w14:paraId="2CB38FD8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«предоставление займов» 089;</w:t>
      </w:r>
    </w:p>
    <w:p w14:paraId="7FA2277C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«фьючерсные и форвардные контракты, опционы и свопы» 090;</w:t>
      </w:r>
    </w:p>
    <w:p w14:paraId="0AD1ADF8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«инвестиции в ассоциированные и дочерние организации» 091;</w:t>
      </w:r>
    </w:p>
    <w:p w14:paraId="290BC88E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«прочие выплаты» 092;</w:t>
      </w:r>
    </w:p>
    <w:p w14:paraId="4419B1AC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значение строки «Чистая сумма денежных средств от инвестиционной деятельности» 100 равно разнице строк 060 и 080.</w:t>
      </w:r>
    </w:p>
    <w:p w14:paraId="28C1F544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столбце III. «Движение денежных средств от финансовой деятельности» указывается:</w:t>
      </w:r>
    </w:p>
    <w:p w14:paraId="33EB0D1E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значение строки «Поступление денежных средств, всего» 110 равно сумме строк с 111 по 114,</w:t>
      </w:r>
    </w:p>
    <w:p w14:paraId="5B630273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том числе:</w:t>
      </w:r>
    </w:p>
    <w:p w14:paraId="0061EBB8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«эмиссия акций и других финансовых инструментов» 111;</w:t>
      </w:r>
    </w:p>
    <w:p w14:paraId="479CA193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«получение займов» 112;</w:t>
      </w:r>
    </w:p>
    <w:p w14:paraId="5EEF52ED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«полученные вознаграждения» 113;</w:t>
      </w:r>
    </w:p>
    <w:p w14:paraId="1E4D441D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«прочие поступления» 114;</w:t>
      </w:r>
    </w:p>
    <w:p w14:paraId="153AC33C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значение строки «Выбытие денежных средств, всего» 120 равно сумме строк с 121 по 125,</w:t>
      </w:r>
    </w:p>
    <w:p w14:paraId="0A609F34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том числе:</w:t>
      </w:r>
    </w:p>
    <w:p w14:paraId="37C84F87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«погашение займов» 121;</w:t>
      </w:r>
    </w:p>
    <w:p w14:paraId="1A9FCC61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«выплата вознаграждения» 122;</w:t>
      </w:r>
    </w:p>
    <w:p w14:paraId="7F707303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«выплата дивидендов» 123;</w:t>
      </w:r>
    </w:p>
    <w:p w14:paraId="17F928C3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«выплаты собственникам по акциям организации» 124;</w:t>
      </w:r>
    </w:p>
    <w:p w14:paraId="4C9D7F41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«прочие выбытия» 125;</w:t>
      </w:r>
    </w:p>
    <w:p w14:paraId="5127C637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значение строки «Чистая сумма денежных средств от финансовой деятельности» 130 равно разнице строк 110 и 120.</w:t>
      </w:r>
    </w:p>
    <w:p w14:paraId="7DEC1181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lastRenderedPageBreak/>
        <w:t>В строке «Влияние обменных курсов валют к тенге» 140 указывается влияние обменных курсов валют к тенге.</w:t>
      </w:r>
    </w:p>
    <w:p w14:paraId="646886C9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строке «Влияние изменения балансовой стоимости денежных средств и их эквивалентов» 150 указывается влияние изменения балансовой стоимости денежных средств и их эквивалентов.</w:t>
      </w:r>
    </w:p>
    <w:p w14:paraId="1907AFDA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Значение строки «Увеличение +/- уменьшение денежных средств» 160 равно +/- строк 050, 100, 130, 140 и 150.</w:t>
      </w:r>
    </w:p>
    <w:p w14:paraId="56F20813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строке «Денежные средства и их эквиваленты на начало отчетного периода» 170 указывается денежные средства и их эквиваленты на начало отчетного периода.</w:t>
      </w:r>
    </w:p>
    <w:p w14:paraId="1E2C9E7D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строке «Денежные средства и их эквиваленты на конец отчетного периода» 180 указывается денежные средства и их эквиваленты на конец отчетного периода.</w:t>
      </w:r>
    </w:p>
    <w:p w14:paraId="30C8F63B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столбце «Код строки» указывается код строки.</w:t>
      </w:r>
    </w:p>
    <w:p w14:paraId="289B0097" w14:textId="77777777" w:rsidR="00043102" w:rsidRPr="00043102" w:rsidRDefault="00043102" w:rsidP="000431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столбце «За отчетный период» указывается сумма в тысячах тенге за отчетный период;</w:t>
      </w:r>
    </w:p>
    <w:p w14:paraId="48B32F47" w14:textId="59A3B20B" w:rsidR="00DE034E" w:rsidRPr="00043102" w:rsidRDefault="00043102" w:rsidP="00D54C5A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43102">
        <w:rPr>
          <w:rFonts w:ascii="Times New Roman" w:hAnsi="Times New Roman" w:cs="Times New Roman"/>
          <w:sz w:val="24"/>
          <w:szCs w:val="24"/>
        </w:rPr>
        <w:t>в столбце «За предыдущий период» указыв</w:t>
      </w:r>
      <w:bookmarkStart w:id="0" w:name="_GoBack"/>
      <w:bookmarkEnd w:id="0"/>
      <w:r w:rsidRPr="00043102">
        <w:rPr>
          <w:rFonts w:ascii="Times New Roman" w:hAnsi="Times New Roman" w:cs="Times New Roman"/>
          <w:sz w:val="24"/>
          <w:szCs w:val="24"/>
        </w:rPr>
        <w:t>ается сумма в тысячах тенге за предыдущий период.</w:t>
      </w:r>
    </w:p>
    <w:sectPr w:rsidR="00DE034E" w:rsidRPr="00043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05E"/>
    <w:rsid w:val="00043102"/>
    <w:rsid w:val="0029605E"/>
    <w:rsid w:val="00D54C5A"/>
    <w:rsid w:val="00DE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79E0B"/>
  <w15:chartTrackingRefBased/>
  <w15:docId w15:val="{0EADE3E2-B049-4E63-B03F-4A3FD70F1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68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84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2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5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56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9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7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697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999</Words>
  <Characters>5698</Characters>
  <Application>Microsoft Office Word</Application>
  <DocSecurity>0</DocSecurity>
  <Lines>47</Lines>
  <Paragraphs>13</Paragraphs>
  <ScaleCrop>false</ScaleCrop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5</cp:revision>
  <dcterms:created xsi:type="dcterms:W3CDTF">2026-05-14T07:08:00Z</dcterms:created>
  <dcterms:modified xsi:type="dcterms:W3CDTF">2026-05-14T07:09:00Z</dcterms:modified>
</cp:coreProperties>
</file>